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="-28" w:vertAnchor="page" w:tblpY="114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27"/>
      </w:tblGrid>
      <w:tr>
        <w:tblPrEx/>
        <w:trPr>
          <w:trHeight w:val="439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727" w:type="dxa"/>
            <w:vAlign w:val="top"/>
            <w:textDirection w:val="lrTb"/>
            <w:noWrap w:val="false"/>
          </w:tcPr>
          <w:p>
            <w:pPr>
              <w:pStyle w:val="935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35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35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61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1004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35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35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35"/>
              <w:ind w:firstLine="0"/>
              <w:tabs>
                <w:tab w:val="left" w:pos="4678" w:leader="none"/>
              </w:tabs>
              <w:rPr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  <w:lang w:val="en-US"/>
              </w:rPr>
              <w:t xml:space="preserve">_____________</w:t>
            </w:r>
            <w:r>
              <w:rPr>
                <w:sz w:val="22"/>
                <w:szCs w:val="22"/>
                <w:lang w:val="en-US"/>
              </w:rPr>
              <w:t xml:space="preserve">________№____________________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35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35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</w:rPr>
              <w:t xml:space="preserve">на № </w:t>
            </w:r>
            <w:r>
              <w:rPr>
                <w:sz w:val="22"/>
                <w:szCs w:val="22"/>
              </w:rPr>
              <w:t xml:space="preserve">_</w:t>
            </w:r>
            <w:r>
              <w:rPr>
                <w:sz w:val="22"/>
                <w:szCs w:val="22"/>
                <w:u w:val="single"/>
              </w:rPr>
              <w:t xml:space="preserve">______________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от___</w:t>
            </w:r>
            <w:r>
              <w:rPr>
                <w:sz w:val="22"/>
                <w:szCs w:val="22"/>
                <w:u w:val="single"/>
              </w:rPr>
              <w:t xml:space="preserve">_________</w:t>
            </w:r>
            <w:r>
              <w:rPr>
                <w:sz w:val="22"/>
                <w:szCs w:val="22"/>
              </w:rPr>
              <w:t xml:space="preserve">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-442890</wp:posOffset>
                </wp:positionH>
                <wp:positionV relativeFrom="paragraph">
                  <wp:posOffset>0</wp:posOffset>
                </wp:positionV>
                <wp:extent cx="3052445" cy="2592799"/>
                <wp:effectExtent l="6350" t="6350" r="6350" b="6350"/>
                <wp:wrapNone/>
                <wp:docPr id="1" name="_x0000_s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3052444" cy="25927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35"/>
                              <w:ind w:left="-142" w:right="0" w:firstLine="425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ind w:left="-142" w:right="834" w:firstLine="425"/>
                              <w:jc w:val="center"/>
                            </w:pP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t xml:space="preserve">Директорам </w:t>
                            </w:r>
                            <w:r>
                              <w:t xml:space="preserve">саморегулируемых 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</w:pPr>
                            <w:r>
                              <w:t xml:space="preserve">организаций кадастровых </w:t>
                            </w:r>
                            <w:r/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</w:pPr>
                            <w:r>
                              <w:t xml:space="preserve">инженеров</w:t>
                            </w:r>
                            <w:r/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35"/>
                              <w:ind w:left="-142" w:right="834" w:firstLine="425"/>
                              <w:jc w:val="center"/>
                            </w:pPr>
                            <w:r>
                              <w:t xml:space="preserve">(по списку)</w:t>
                            </w:r>
                            <w:r/>
                          </w:p>
                          <w:p>
                            <w:pPr>
                              <w:pStyle w:val="935"/>
                              <w:ind w:left="-142" w:right="0" w:firstLine="425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35"/>
                              <w:ind w:left="-1276" w:right="2398" w:firstLine="851"/>
                            </w:pPr>
                            <w:r/>
                            <w:r/>
                          </w:p>
                          <w:p>
                            <w:pPr>
                              <w:pStyle w:val="935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02" type="#_x0000_t202" style="position:absolute;z-index:524288;o:allowoverlap:true;o:allowincell:true;mso-position-horizontal-relative:text;margin-left:-34.87pt;mso-position-horizontal:absolute;mso-position-vertical-relative:text;margin-top:0.00pt;mso-position-vertical:absolute;width:240.35pt;height:204.16pt;mso-wrap-distance-left:9.00pt;mso-wrap-distance-top:0.00pt;mso-wrap-distance-right:9.00pt;mso-wrap-distance-bottom:0.00pt;visibility:visible;" fillcolor="#FFFFFF" stroked="f">
                <v:textbox inset="0,0,0,0">
                  <w:txbxContent>
                    <w:p>
                      <w:pPr>
                        <w:pStyle w:val="935"/>
                        <w:ind w:left="-142" w:right="0" w:firstLine="425"/>
                        <w:jc w:val="center"/>
                        <w:tabs>
                          <w:tab w:val="left" w:pos="3828" w:leader="none"/>
                          <w:tab w:val="left" w:pos="4111" w:leader="none"/>
                          <w:tab w:val="left" w:pos="4253" w:leader="none"/>
                          <w:tab w:val="left" w:pos="4820" w:leader="none"/>
                        </w:tabs>
                      </w:pPr>
                      <w:r/>
                      <w:r/>
                    </w:p>
                    <w:p>
                      <w:pPr>
                        <w:ind w:left="-142" w:right="834" w:firstLine="425"/>
                        <w:jc w:val="center"/>
                      </w:pP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  <w:r/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  <w:rPr>
                          <w:highlight w:val="none"/>
                        </w:rPr>
                      </w:pPr>
                      <w:r>
                        <w:t xml:space="preserve">Директорам </w:t>
                      </w:r>
                      <w:r>
                        <w:t xml:space="preserve">саморегулируемых 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</w:pPr>
                      <w:r>
                        <w:t xml:space="preserve">организаций кадастровых </w:t>
                      </w:r>
                      <w:r/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</w:pPr>
                      <w:r>
                        <w:t xml:space="preserve">инженеров</w:t>
                      </w:r>
                      <w:r/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</w:pPr>
                      <w:r/>
                      <w:r/>
                    </w:p>
                    <w:p>
                      <w:pPr>
                        <w:pStyle w:val="935"/>
                        <w:ind w:left="-142" w:right="834" w:firstLine="425"/>
                        <w:jc w:val="center"/>
                      </w:pPr>
                      <w:r>
                        <w:t xml:space="preserve">(по списку)</w:t>
                      </w:r>
                      <w:r/>
                    </w:p>
                    <w:p>
                      <w:pPr>
                        <w:pStyle w:val="935"/>
                        <w:ind w:left="-142" w:right="0" w:firstLine="425"/>
                        <w:jc w:val="center"/>
                      </w:pPr>
                      <w:r/>
                      <w:r/>
                    </w:p>
                    <w:p>
                      <w:pPr>
                        <w:pStyle w:val="935"/>
                        <w:ind w:left="-1276" w:right="2398" w:firstLine="851"/>
                      </w:pPr>
                      <w:r/>
                      <w:r/>
                    </w:p>
                    <w:p>
                      <w:pPr>
                        <w:pStyle w:val="935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35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ind w:firstLine="0"/>
      </w:pPr>
      <w:r/>
      <w:r/>
    </w:p>
    <w:p>
      <w:pPr>
        <w:ind w:firstLine="0"/>
      </w:pPr>
      <w:r/>
      <w:r/>
    </w:p>
    <w:p>
      <w:pPr>
        <w:contextualSpacing/>
        <w:ind w:firstLine="0"/>
        <w:rPr>
          <w:rFonts w:ascii="Times New Roman" w:hAnsi="Times New Roman" w:cs="Times New Roman"/>
          <w:sz w:val="24"/>
          <w:szCs w:val="24"/>
          <w:lang w:eastAsia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 всту</w:t>
      </w:r>
      <w:r>
        <w:rPr>
          <w:rFonts w:ascii="Times New Roman" w:hAnsi="Times New Roman" w:cs="Times New Roman"/>
          <w:sz w:val="24"/>
          <w:szCs w:val="24"/>
        </w:rPr>
        <w:t xml:space="preserve">плен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ии в силу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01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.02.2026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риказа </w:t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  <w:r>
        <w:rPr>
          <w:rFonts w:ascii="Times New Roman" w:hAnsi="Times New Roman" w:cs="Times New Roman"/>
          <w:sz w:val="24"/>
          <w:szCs w:val="24"/>
          <w:lang w:eastAsia="ru-RU"/>
          <w14:ligatures w14:val="none"/>
        </w:rPr>
      </w:r>
    </w:p>
    <w:p>
      <w:pPr>
        <w:contextualSpacing/>
        <w:ind w:firstLine="0"/>
        <w:rPr>
          <w:rFonts w:ascii="Times New Roman" w:hAnsi="Times New Roman" w:cs="Times New Roman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Росреестра от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23.10.2024 № П/0328/24</w:t>
      </w:r>
      <w:r>
        <w:rPr>
          <w:rFonts w:ascii="Times New Roman" w:hAnsi="Times New Roman" w:cs="Times New Roman"/>
          <w:szCs w:val="24"/>
          <w14:ligatures w14:val="none"/>
        </w:rPr>
      </w:r>
      <w:r>
        <w:rPr>
          <w:rFonts w:ascii="Times New Roman" w:hAnsi="Times New Roman" w:cs="Times New Roman"/>
          <w:szCs w:val="24"/>
          <w14:ligatures w14:val="none"/>
        </w:rPr>
      </w:r>
    </w:p>
    <w:p>
      <w:pPr>
        <w:pStyle w:val="935"/>
        <w:ind w:firstLine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35"/>
        <w:ind w:right="-2" w:firstLine="0"/>
        <w:spacing w:line="240" w:lineRule="auto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0"/>
        <w:jc w:val="center"/>
        <w:spacing w:line="264" w:lineRule="auto"/>
        <w:rPr>
          <w:color w:val="000000"/>
        </w:rPr>
      </w:pPr>
      <w:r>
        <w:rPr>
          <w:color w:val="000000"/>
        </w:rPr>
        <w:t xml:space="preserve">Уважаемые коллеги!</w:t>
      </w:r>
      <w:r>
        <w:rPr>
          <w:color w:val="000000"/>
        </w:rPr>
      </w:r>
      <w:r>
        <w:rPr>
          <w:color w:val="000000"/>
        </w:rPr>
      </w:r>
    </w:p>
    <w:p>
      <w:pPr>
        <w:pStyle w:val="935"/>
        <w:spacing w:line="264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Для сведения, учета и применения в рабо</w:t>
      </w:r>
      <w:r>
        <w:t xml:space="preserve">те </w:t>
      </w:r>
      <w:r>
        <w:t xml:space="preserve">Управление Росреестра по Новосибирской области (далее – Управление) </w:t>
      </w:r>
      <w:r>
        <w:t xml:space="preserve">направляет </w:t>
      </w:r>
      <w:r>
        <w:t xml:space="preserve">следующую информацию</w:t>
      </w:r>
      <w:r>
        <w:t xml:space="preserve"> </w:t>
      </w:r>
      <w:r>
        <w:t xml:space="preserve">о вступлении в силу </w:t>
      </w:r>
      <w:r>
        <w:t xml:space="preserve">с </w:t>
      </w:r>
      <w:r>
        <w:rPr>
          <w:u w:val="single"/>
          <w:lang w:eastAsia="ru-RU"/>
        </w:rPr>
        <w:t xml:space="preserve">01</w:t>
      </w:r>
      <w:r>
        <w:rPr>
          <w:u w:val="single"/>
          <w:lang w:eastAsia="ru-RU"/>
        </w:rPr>
        <w:t xml:space="preserve">.02.2026</w:t>
      </w:r>
      <w:r>
        <w:t xml:space="preserve"> </w:t>
      </w:r>
      <w:r>
        <w:rPr>
          <w:b/>
          <w:bCs/>
          <w:i/>
          <w:iCs/>
        </w:rPr>
        <w:t xml:space="preserve">приказа Росреестра </w:t>
      </w:r>
      <w:r>
        <w:rPr>
          <w:b/>
          <w:bCs/>
          <w:i/>
          <w:iCs/>
        </w:rPr>
        <w:t xml:space="preserve">от 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eastAsia="ru-RU"/>
        </w:rPr>
        <w:t xml:space="preserve"> </w:t>
      </w:r>
      <w:r>
        <w:rPr>
          <w:b/>
          <w:bCs/>
          <w:i/>
          <w:iCs/>
        </w:rPr>
        <w:t xml:space="preserve">23.10.2024 № П/0328/24</w:t>
      </w:r>
      <w:r>
        <w:t xml:space="preserve"> «</w:t>
      </w:r>
      <w:r>
        <w:t xml:space="preserve">О внесении изменений в приказы Федеральной службы государственной регистрации, кадастра и картографии от 4 августа 2021 г. № П/0337, от 14 декабря 2021 г. № П/0592 и от 15 марта 2022 г. № П/0082»</w:t>
      </w:r>
      <w:r>
        <w:t xml:space="preserve"> </w:t>
      </w:r>
      <w:r>
        <w:t xml:space="preserve">(далее – Приказ </w:t>
      </w:r>
      <w:r>
        <w:rPr>
          <w:lang w:eastAsia="ru-RU"/>
        </w:rPr>
        <w:t xml:space="preserve">№ </w:t>
      </w:r>
      <w:r>
        <w:t xml:space="preserve">П/0328/24</w:t>
      </w:r>
      <w:r>
        <w:t xml:space="preserve">).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Приказом </w:t>
      </w:r>
      <w:r>
        <w:rPr>
          <w:lang w:eastAsia="ru-RU"/>
        </w:rPr>
        <w:t xml:space="preserve">№ </w:t>
      </w:r>
      <w:r>
        <w:t xml:space="preserve">П/0328/24</w:t>
      </w:r>
      <w:r>
        <w:t xml:space="preserve"> внесены изменения в следующие                 но</w:t>
      </w:r>
      <w:r>
        <w:t xml:space="preserve">рмативно-правовые акты: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- Приказ Росреестра </w:t>
      </w:r>
      <w:r>
        <w:t xml:space="preserve">от 14.12.2021 </w:t>
      </w:r>
      <w:r>
        <w:rPr>
          <w:b/>
          <w:bCs/>
        </w:rPr>
        <w:t xml:space="preserve">№ П/0592</w:t>
      </w:r>
      <w:r>
        <w:t xml:space="preserve"> «Об утверждении формы и состава сведений межевого плана, требований к его подготовке»</w:t>
      </w:r>
      <w:r>
        <w:t xml:space="preserve">                   </w:t>
      </w:r>
      <w:r>
        <w:t xml:space="preserve">(далее – Приказ </w:t>
      </w:r>
      <w:r>
        <w:rPr>
          <w:lang w:eastAsia="ru-RU"/>
        </w:rPr>
        <w:t xml:space="preserve">№ </w:t>
      </w:r>
      <w:r>
        <w:t xml:space="preserve">П/0592</w:t>
      </w:r>
      <w:r>
        <w:t xml:space="preserve">);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- Приказ Росреестра от 15.03.2022 </w:t>
      </w:r>
      <w:r>
        <w:rPr>
          <w:b/>
          <w:bCs/>
        </w:rPr>
        <w:t xml:space="preserve">№ П/0082</w:t>
      </w:r>
      <w:r>
        <w:t xml:space="preserve"> «</w:t>
      </w:r>
      <w:r>
        <w:t xml:space="preserve">Об установлении формы технического плана, требований к его подготовке и состава содержащихся в нем сведений» </w:t>
      </w:r>
      <w:r>
        <w:t xml:space="preserve">(далее – Приказ </w:t>
      </w:r>
      <w:r>
        <w:rPr>
          <w:lang w:eastAsia="ru-RU"/>
        </w:rPr>
        <w:t xml:space="preserve">№ </w:t>
      </w:r>
      <w:r>
        <w:t xml:space="preserve">П/0082</w:t>
      </w:r>
      <w:r>
        <w:t xml:space="preserve">);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none"/>
          <w14:ligatures w14:val="none"/>
        </w:rPr>
      </w:r>
      <w:r>
        <w:t xml:space="preserve">- Приказ Росреестра от 04.08.2021</w:t>
      </w:r>
      <w:r>
        <w:rPr>
          <w:b/>
          <w:bCs/>
        </w:rPr>
        <w:t xml:space="preserve"> № П/0337</w:t>
      </w:r>
      <w:r>
        <w:t xml:space="preserve"> «Об установлении формы карты-плана территории, формы акта согласования местоположения границ </w:t>
      </w:r>
      <w:r>
        <w:t xml:space="preserve">земел</w:t>
      </w:r>
      <w:r>
        <w:t xml:space="preserve">ьных участков при выполнении комплексных кадастровых работ и требований к их подготовке» </w:t>
      </w:r>
      <w:r>
        <w:t xml:space="preserve">(далее – Приказ </w:t>
      </w:r>
      <w:r>
        <w:rPr>
          <w:lang w:eastAsia="ru-RU"/>
        </w:rPr>
        <w:t xml:space="preserve">№ </w:t>
      </w:r>
      <w:r>
        <w:t xml:space="preserve">П/0</w:t>
      </w:r>
      <w:r>
        <w:t xml:space="preserve">337).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1. Приказом </w:t>
      </w:r>
      <w:r>
        <w:rPr>
          <w:lang w:eastAsia="ru-RU"/>
        </w:rPr>
        <w:t xml:space="preserve">№ </w:t>
      </w:r>
      <w:r>
        <w:t xml:space="preserve">П/0328/24 </w:t>
      </w:r>
      <w:r>
        <w:t xml:space="preserve">вводятся новые требования к оформлению карт-планов территории, межевого и технического планов, в частности о</w:t>
      </w:r>
      <w:r>
        <w:t xml:space="preserve">беспечивается присв</w:t>
      </w:r>
      <w:r>
        <w:rPr>
          <w:b w:val="0"/>
          <w:bCs w:val="0"/>
          <w:i w:val="0"/>
          <w:iCs w:val="0"/>
        </w:rPr>
        <w:t xml:space="preserve">оение адреса объекту адресации при выполнении кадастровых (комплексных кадастровых) работ и внесение соответствующих сведений в государственный адресный реестр (если такой адрес ранее не был присвоен в установленном порядке).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/>
          <w:bCs/>
          <w:i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Согласно изменениям, внесенным Приказом </w:t>
      </w:r>
      <w:r>
        <w:rPr>
          <w:b w:val="0"/>
          <w:bCs w:val="0"/>
          <w:i w:val="0"/>
          <w:iCs w:val="0"/>
          <w:lang w:eastAsia="ru-RU"/>
        </w:rPr>
        <w:t xml:space="preserve">№ </w:t>
      </w:r>
      <w:r>
        <w:rPr>
          <w:b w:val="0"/>
          <w:bCs w:val="0"/>
          <w:i w:val="0"/>
          <w:iCs w:val="0"/>
        </w:rPr>
        <w:t xml:space="preserve">П/0328/24</w:t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карта-план территории, технический и межевой планы теперь обязательно должны содержать:</w:t>
      </w:r>
      <w:r>
        <w:rPr>
          <w:b/>
          <w:bCs/>
          <w:i/>
        </w:rPr>
      </w:r>
      <w:r>
        <w:rPr>
          <w:b/>
          <w:bCs/>
          <w:i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-</w:t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сведения об адресе </w:t>
      </w:r>
      <w:r>
        <w:rPr>
          <w:b w:val="0"/>
          <w:bCs w:val="0"/>
          <w:i w:val="0"/>
          <w:iCs w:val="0"/>
        </w:rPr>
        <w:t xml:space="preserve">объекта недвижимости, </w:t>
      </w:r>
      <w:r>
        <w:rPr>
          <w:b w:val="0"/>
          <w:bCs w:val="0"/>
          <w:i w:val="0"/>
          <w:iCs w:val="0"/>
        </w:rPr>
        <w:t xml:space="preserve">зарегистрированном в </w:t>
      </w:r>
      <w:r>
        <w:rPr>
          <w:b w:val="0"/>
          <w:bCs w:val="0"/>
          <w:i w:val="0"/>
          <w:iCs w:val="0"/>
        </w:rPr>
        <w:t xml:space="preserve">Фед</w:t>
      </w:r>
      <w:r>
        <w:rPr>
          <w:b w:val="0"/>
          <w:bCs w:val="0"/>
          <w:i w:val="0"/>
          <w:iCs w:val="0"/>
        </w:rPr>
        <w:t xml:space="preserve">еральной информационной адресн</w:t>
      </w:r>
      <w:r>
        <w:rPr>
          <w:b w:val="0"/>
          <w:bCs w:val="0"/>
          <w:i w:val="0"/>
          <w:iCs w:val="0"/>
        </w:rPr>
        <w:t xml:space="preserve">ой системе </w:t>
      </w:r>
      <w:r>
        <w:rPr>
          <w:b w:val="0"/>
          <w:bCs w:val="0"/>
          <w:i w:val="0"/>
          <w:iCs w:val="0"/>
        </w:rPr>
        <w:t xml:space="preserve">(далее - </w:t>
      </w:r>
      <w:r>
        <w:rPr>
          <w:b w:val="0"/>
          <w:bCs w:val="0"/>
          <w:i w:val="0"/>
          <w:iCs w:val="0"/>
        </w:rPr>
        <w:t xml:space="preserve">ФИАС</w:t>
      </w:r>
      <w:r>
        <w:rPr>
          <w:b w:val="0"/>
          <w:bCs w:val="0"/>
          <w:i w:val="0"/>
          <w:iCs w:val="0"/>
        </w:rPr>
        <w:t xml:space="preserve">)</w:t>
      </w:r>
      <w:r>
        <w:rPr>
          <w:b w:val="0"/>
          <w:bCs w:val="0"/>
          <w:i w:val="0"/>
          <w:iCs w:val="0"/>
        </w:rPr>
        <w:t xml:space="preserve"> или в </w:t>
      </w:r>
      <w:r>
        <w:rPr>
          <w:b w:val="0"/>
          <w:bCs w:val="0"/>
          <w:i w:val="0"/>
          <w:iCs w:val="0"/>
        </w:rPr>
        <w:t xml:space="preserve">Государственном адресном реестре</w:t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и его FIASID </w:t>
      </w:r>
      <w:r>
        <w:t xml:space="preserve">(уникальный идентификатор адреса в ФИАС), </w:t>
      </w:r>
      <w:r>
        <w:t xml:space="preserve">сведения об адресе объекта недвижимости (если такой объект является объектом адресации), включающие уникальный номер адреса объекта адресации в государственном адресном реестре (уникальный идентификатор адреса), в том числе присвоенного на основании обраще</w:t>
      </w:r>
      <w:r>
        <w:t xml:space="preserve">ния кадастрового инженера, предусмотренного </w:t>
      </w:r>
      <w:r>
        <w:t xml:space="preserve">пунктом 29</w:t>
      </w:r>
      <w:r>
        <w:t xml:space="preserve"> </w:t>
      </w:r>
      <w:r>
        <w:t xml:space="preserve">Правил присвоения, изменения и аннулирования адресов, утвержденных </w:t>
      </w:r>
      <w:r>
        <w:t xml:space="preserve">Постановлением Правительства РФ от 19.11.2014 № 1221</w:t>
      </w:r>
      <w:r>
        <w:t xml:space="preserve"> (далее – Правила) (при отсутствии на момент выполнения кадастровых работ в государственном адресном реестре адреса объекта адресации, присвоенного в порядке, установленном </w:t>
      </w:r>
      <w:r>
        <w:t xml:space="preserve">Правилами</w:t>
      </w:r>
      <w:r>
        <w:t xml:space="preserve">, и акта уполномоченного органа о присвоении объекту </w:t>
      </w:r>
      <w:r>
        <w:t xml:space="preserve">недвижимости адреса в порядке, установленном до вступления в силу </w:t>
      </w:r>
      <w:r>
        <w:t xml:space="preserve">Правил</w:t>
      </w:r>
      <w:r>
        <w:t xml:space="preserve">);</w:t>
      </w:r>
      <w:r>
        <w:rPr>
          <w:b w:val="0"/>
          <w:bCs w:val="0"/>
          <w:i w:val="0"/>
        </w:rPr>
      </w:r>
      <w:r/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 w:val="0"/>
          <w:bCs w:val="0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- </w:t>
      </w:r>
      <w:r>
        <w:rPr>
          <w:b w:val="0"/>
          <w:bCs w:val="0"/>
          <w:i w:val="0"/>
          <w:iCs w:val="0"/>
        </w:rPr>
        <w:t xml:space="preserve">сведения об ином месте нахождения объекта недвижимости, не являющегося объектом адресации </w:t>
      </w:r>
      <w:r>
        <w:rPr>
          <w:b w:val="0"/>
          <w:bCs w:val="0"/>
          <w:i w:val="0"/>
          <w:iCs w:val="0"/>
        </w:rPr>
        <w:t xml:space="preserve">(абз. четвертый п. 37 и п. 50 </w:t>
      </w:r>
      <w:r>
        <w:rPr>
          <w:b w:val="0"/>
          <w:bCs w:val="0"/>
          <w:i w:val="0"/>
          <w:iCs w:val="0"/>
        </w:rPr>
        <w:t xml:space="preserve">Приказа              </w:t>
      </w:r>
      <w:r>
        <w:rPr>
          <w:b w:val="0"/>
          <w:bCs w:val="0"/>
          <w:i w:val="0"/>
          <w:iCs w:val="0"/>
          <w:lang w:eastAsia="ru-RU"/>
        </w:rPr>
        <w:t xml:space="preserve">№ </w:t>
      </w:r>
      <w:r>
        <w:rPr>
          <w:b w:val="0"/>
          <w:bCs w:val="0"/>
          <w:i w:val="0"/>
          <w:iCs w:val="0"/>
        </w:rPr>
        <w:t xml:space="preserve">П/0592</w:t>
      </w:r>
      <w:r>
        <w:rPr>
          <w:b w:val="0"/>
          <w:bCs w:val="0"/>
          <w:i w:val="0"/>
          <w:iCs w:val="0"/>
        </w:rPr>
        <w:t xml:space="preserve">, пп. 7 п. 51 </w:t>
      </w:r>
      <w:r>
        <w:rPr>
          <w:b w:val="0"/>
          <w:bCs w:val="0"/>
          <w:i w:val="0"/>
          <w:iCs w:val="0"/>
        </w:rPr>
        <w:t xml:space="preserve">Приказа </w:t>
      </w:r>
      <w:r>
        <w:rPr>
          <w:b w:val="0"/>
          <w:bCs w:val="0"/>
          <w:i w:val="0"/>
          <w:iCs w:val="0"/>
          <w:lang w:eastAsia="ru-RU"/>
        </w:rPr>
        <w:t xml:space="preserve">№</w:t>
      </w:r>
      <w:r>
        <w:rPr>
          <w:b w:val="0"/>
          <w:bCs w:val="0"/>
          <w:i w:val="0"/>
          <w:iCs w:val="0"/>
          <w:lang w:eastAsia="ru-RU"/>
        </w:rPr>
        <w:t xml:space="preserve"> </w:t>
      </w:r>
      <w:r>
        <w:rPr>
          <w:b w:val="0"/>
          <w:bCs w:val="0"/>
          <w:i w:val="0"/>
          <w:iCs w:val="0"/>
        </w:rPr>
        <w:t xml:space="preserve">П/0082</w:t>
      </w:r>
      <w:r>
        <w:rPr>
          <w:b w:val="0"/>
          <w:bCs w:val="0"/>
          <w:i w:val="0"/>
          <w:iCs w:val="0"/>
        </w:rPr>
        <w:t xml:space="preserve">).</w:t>
      </w:r>
      <w:r>
        <w:rPr>
          <w:b w:val="0"/>
          <w:bCs w:val="0"/>
          <w14:ligatures w14:val="none"/>
        </w:rPr>
      </w:r>
      <w:r>
        <w:rPr>
          <w:b w:val="0"/>
          <w:bCs w:val="0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i w:val="0"/>
          <w:iCs w:val="0"/>
        </w:rPr>
        <w:t xml:space="preserve">Объектами, подлежащими адреса</w:t>
      </w:r>
      <w:r>
        <w:t xml:space="preserve">ции яв</w:t>
      </w:r>
      <w:r>
        <w:t xml:space="preserve">ляются: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numPr>
          <w:ilvl w:val="0"/>
          <w:numId w:val="51"/>
        </w:numPr>
        <w:contextualSpacing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 земельные участки, создаваемые посредством раздела, объединения либо перераспределения;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numPr>
          <w:ilvl w:val="0"/>
          <w:numId w:val="51"/>
        </w:numPr>
        <w:contextualSpacing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 здания;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numPr>
          <w:ilvl w:val="0"/>
          <w:numId w:val="51"/>
        </w:numPr>
        <w:contextualSpacing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 помещения;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numPr>
          <w:ilvl w:val="0"/>
          <w:numId w:val="51"/>
        </w:numPr>
        <w:contextualSpacing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 сооружения (исключая линейные объекты).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В случае отсутствия зарегис</w:t>
      </w:r>
      <w:r>
        <w:t xml:space="preserve">трированного адреса необходимо подать заявление на присвоение адреса.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Если адреса объекта нет, то перед подготовкой технического или межевого плана собственнику или его представителю необходимо получить адрес. 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Напоминаем, что в</w:t>
      </w:r>
      <w:r>
        <w:t xml:space="preserve"> соответствии с </w:t>
      </w:r>
      <w:r>
        <w:t xml:space="preserve">Правилами, </w:t>
      </w:r>
      <w:r>
        <w:t xml:space="preserve">кадастровый инженер вправе подавать заявление о присвоении адреса объекту недвижимости от имени заявителя.</w:t>
      </w:r>
      <w:r>
        <w:rPr>
          <w14:ligatures w14:val="none"/>
        </w:rPr>
      </w:r>
      <w:r>
        <w:rPr>
          <w14:ligatures w14:val="none"/>
        </w:rPr>
      </w:r>
      <w:r/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Также утверждено, что П</w:t>
      </w:r>
      <w:r>
        <w:t xml:space="preserve">риказ </w:t>
      </w:r>
      <w:r>
        <w:rPr>
          <w:lang w:eastAsia="ru-RU"/>
        </w:rPr>
        <w:t xml:space="preserve">№ </w:t>
      </w:r>
      <w:r>
        <w:t xml:space="preserve">П/0328/24</w:t>
      </w:r>
      <w:r>
        <w:t xml:space="preserve"> </w:t>
      </w:r>
      <w:r>
        <w:t xml:space="preserve">не устанавливает особенности подготовки межевого и технического планов и состав указываемых в них сведений в случае, предусмотренном </w:t>
      </w:r>
      <w:r>
        <w:t xml:space="preserve">ч. 37 ст. 70</w:t>
      </w:r>
      <w:r>
        <w:t xml:space="preserve"> Федерального закона от 13.07.2015 № 218-ФЗ «О государственной регистрации недвижимости» (п.1(1) </w:t>
      </w:r>
      <w:r>
        <w:t xml:space="preserve">Приказа </w:t>
      </w:r>
      <w:r>
        <w:rPr>
          <w:lang w:eastAsia="ru-RU"/>
        </w:rPr>
        <w:t xml:space="preserve">№ </w:t>
      </w:r>
      <w:r>
        <w:t xml:space="preserve">П/0592</w:t>
      </w:r>
      <w:r>
        <w:t xml:space="preserve"> и </w:t>
      </w:r>
      <w:r>
        <w:t xml:space="preserve">п.1(1) </w:t>
      </w:r>
      <w:r>
        <w:t xml:space="preserve">Приказа               </w:t>
      </w:r>
      <w:r>
        <w:rPr>
          <w:lang w:eastAsia="ru-RU"/>
        </w:rPr>
        <w:t xml:space="preserve">№</w:t>
      </w:r>
      <w:r>
        <w:rPr>
          <w:lang w:eastAsia="ru-RU"/>
        </w:rPr>
        <w:t xml:space="preserve"> </w:t>
      </w:r>
      <w:r>
        <w:t xml:space="preserve">П/0082</w:t>
      </w:r>
      <w:r>
        <w:t xml:space="preserve">).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b/>
          <w:bCs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</w:rPr>
        <w:t xml:space="preserve">2. </w:t>
      </w:r>
      <w:r>
        <w:rPr>
          <w:b w:val="0"/>
          <w:bCs w:val="0"/>
        </w:rPr>
        <w:t xml:space="preserve">Приказом </w:t>
      </w:r>
      <w:r>
        <w:rPr>
          <w:b w:val="0"/>
          <w:bCs w:val="0"/>
          <w:lang w:eastAsia="ru-RU"/>
        </w:rPr>
        <w:t xml:space="preserve">№ </w:t>
      </w:r>
      <w:r>
        <w:rPr>
          <w:b w:val="0"/>
          <w:bCs w:val="0"/>
        </w:rPr>
        <w:t xml:space="preserve">П/0328/24</w:t>
      </w:r>
      <w:r>
        <w:rPr>
          <w:b w:val="0"/>
          <w:bCs w:val="0"/>
        </w:rPr>
        <w:t xml:space="preserve"> внесены изменения в формы </w:t>
      </w:r>
      <w:r>
        <w:rPr>
          <w:b w:val="0"/>
          <w:bCs w:val="0"/>
        </w:rPr>
        <w:t xml:space="preserve">карт-планов территории, межевого и технического планов.</w:t>
      </w:r>
      <w:r>
        <w:rPr>
          <w:b w:val="0"/>
          <w:bCs w:val="0"/>
          <w14:ligatures w14:val="none"/>
        </w:rPr>
      </w:r>
      <w:r>
        <w:rPr>
          <w:b/>
          <w:bCs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Строки 1</w:t>
      </w:r>
      <w:r>
        <w:t xml:space="preserve">, </w:t>
      </w:r>
      <w:r>
        <w:t xml:space="preserve">2</w:t>
      </w:r>
      <w:r>
        <w:t xml:space="preserve">, </w:t>
      </w:r>
      <w:r>
        <w:t xml:space="preserve">3 реквизита 4</w:t>
      </w:r>
      <w:r>
        <w:t xml:space="preserve"> раздела «Сведения об образуемых земельных участках» </w:t>
      </w:r>
      <w:r>
        <w:t xml:space="preserve">приложения № 1 формы межевого плана, утвержденной </w:t>
      </w:r>
      <w:r>
        <w:t xml:space="preserve">Приказом </w:t>
      </w:r>
      <w:r>
        <w:rPr>
          <w:lang w:eastAsia="ru-RU"/>
        </w:rPr>
        <w:t xml:space="preserve">№ </w:t>
      </w:r>
      <w:r>
        <w:t xml:space="preserve">П/0592, </w:t>
      </w:r>
      <w:r>
        <w:t xml:space="preserve">изложены в новой редакции:</w:t>
      </w:r>
      <w:r>
        <w:rPr>
          <w14:ligatures w14:val="none"/>
        </w:rPr>
      </w:r>
      <w:r>
        <w:rPr>
          <w14:ligatures w14:val="none"/>
        </w:rPr>
      </w:r>
    </w:p>
    <w:tbl>
      <w:tblPr>
        <w:tblStyle w:val="791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81"/>
        <w:gridCol w:w="5444"/>
        <w:gridCol w:w="322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1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11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4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Сведения об адресе земельного участка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29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1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2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011"/>
            </w:pPr>
            <w: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4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Сведения об ином месте нахождения земельного участка, не являющегося объектом адресации, в структурированном виде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29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1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3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011"/>
            </w:pPr>
            <w: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4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Дополнительные сведения о месте нахождения земельного участка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29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</w:tbl>
    <w:p>
      <w:pPr>
        <w:ind w:left="0" w:right="0" w:firstLine="540"/>
        <w:jc w:val="both"/>
        <w:spacing w:before="0" w:after="0" w:line="288" w:lineRule="atLeast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Строка 8</w:t>
      </w:r>
      <w:r>
        <w:t xml:space="preserve"> раздела «Характеристики объекта недвижимости» </w:t>
      </w:r>
      <w:r>
        <w:t xml:space="preserve">приложения № 1 формы технического плана, утвержденной </w:t>
      </w:r>
      <w:r>
        <w:t xml:space="preserve">Приказом </w:t>
      </w:r>
      <w:r>
        <w:rPr>
          <w:lang w:eastAsia="ru-RU"/>
        </w:rPr>
        <w:t xml:space="preserve">№ </w:t>
      </w:r>
      <w:r>
        <w:t xml:space="preserve">П/0082, </w:t>
      </w:r>
      <w:r>
        <w:t xml:space="preserve">изложена в новой редакции:</w:t>
      </w:r>
      <w:r>
        <w:rPr>
          <w14:ligatures w14:val="none"/>
        </w:rPr>
      </w:r>
      <w:r>
        <w:rPr>
          <w14:ligatures w14:val="none"/>
        </w:rPr>
      </w:r>
    </w:p>
    <w:tbl>
      <w:tblPr>
        <w:tblStyle w:val="791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4450"/>
        <w:gridCol w:w="387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vMerge w:val="restart"/>
            <w:textDirection w:val="lrTb"/>
            <w:noWrap w:val="false"/>
          </w:tcPr>
          <w:p>
            <w:pPr>
              <w:pStyle w:val="1011"/>
            </w:pPr>
            <w: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50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Сведения об адресе объекта недвижимости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3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50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Сведения об ином месте нахождения объекта недвижимости, не являющегося объектом адресации, в структурированном виде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3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50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Дополнительные сведения о месте нахождения объекта недвижимости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73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</w:tbl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Строка 5</w:t>
      </w:r>
      <w:r>
        <w:t xml:space="preserve"> </w:t>
      </w:r>
      <w:r>
        <w:t xml:space="preserve">реквизита 1</w:t>
      </w:r>
      <w:r>
        <w:t xml:space="preserve"> «Сведения о помещениях, машино-местах, создан</w:t>
      </w:r>
      <w:r>
        <w:t xml:space="preserve">ных, образованных или характеристики которых подлежат изменению в связи с реконструкцией здания, сооружения» раздела «Характеристики всех помещений, машино-мест в здании, сооружении» </w:t>
      </w:r>
      <w:r>
        <w:t xml:space="preserve">приложения № 1 формы технического плана, утвержденной </w:t>
      </w:r>
      <w:r>
        <w:t xml:space="preserve">Приказом </w:t>
      </w:r>
      <w:r>
        <w:rPr>
          <w:lang w:eastAsia="ru-RU"/>
        </w:rPr>
        <w:t xml:space="preserve">№ </w:t>
      </w:r>
      <w:r>
        <w:t xml:space="preserve">П/0082, </w:t>
      </w:r>
      <w:r>
        <w:t xml:space="preserve">изложена в новой редакции:</w:t>
      </w:r>
      <w:r>
        <w:rPr>
          <w14:ligatures w14:val="none"/>
        </w:rPr>
      </w:r>
      <w:r>
        <w:rPr>
          <w14:ligatures w14:val="none"/>
        </w:rPr>
      </w:r>
    </w:p>
    <w:tbl>
      <w:tblPr>
        <w:tblStyle w:val="791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58"/>
        <w:gridCol w:w="5403"/>
        <w:gridCol w:w="276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vMerge w:val="restart"/>
            <w:textDirection w:val="lrTb"/>
            <w:noWrap w:val="false"/>
          </w:tcPr>
          <w:p>
            <w:pPr>
              <w:pStyle w:val="1011"/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5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03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Сведения об адресе помещения, машино-места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3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03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Сведения об ином месте нахождения помещения, машино-места, не являющегося объектом адресации, в структурированном виде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3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03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Дополнительные сведения о месте нахождения помещения, машино-места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3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</w:tbl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Строки 1</w:t>
      </w:r>
      <w:r>
        <w:t xml:space="preserve">,</w:t>
      </w:r>
      <w:r>
        <w:t xml:space="preserve"> 1.1, 1.2 </w:t>
      </w:r>
      <w:r>
        <w:t xml:space="preserve">реквизита</w:t>
      </w:r>
      <w:r>
        <w:t xml:space="preserve"> 3 разделов «</w:t>
      </w:r>
      <w:r>
        <w:t xml:space="preserve">Сведения об уточняемых земельных участках», «</w:t>
      </w:r>
      <w:r>
        <w:t xml:space="preserve">Сведения об образуемых земельных участках», «</w:t>
      </w:r>
      <w:r>
        <w:t xml:space="preserve">Сведения об уточняемых земельных участках, необходимые для исправления реестровых ошибок в сведениях о местоположении их границ» </w:t>
      </w:r>
      <w:r>
        <w:t xml:space="preserve">приложения № 1 формы </w:t>
      </w:r>
      <w:r>
        <w:t xml:space="preserve">карт-планов территории</w:t>
      </w:r>
      <w:r>
        <w:t xml:space="preserve">, утвержденной </w:t>
      </w:r>
      <w:r>
        <w:t xml:space="preserve">Приказом </w:t>
      </w:r>
      <w:r>
        <w:rPr>
          <w:lang w:eastAsia="ru-RU"/>
        </w:rPr>
        <w:t xml:space="preserve">№ </w:t>
      </w:r>
      <w:r>
        <w:t xml:space="preserve">П/0337, </w:t>
      </w:r>
      <w:r>
        <w:t xml:space="preserve">изложена в новой редакции:</w:t>
      </w:r>
      <w:r>
        <w:rPr>
          <w14:ligatures w14:val="none"/>
        </w:rPr>
      </w:r>
      <w:r>
        <w:rPr>
          <w14:ligatures w14:val="none"/>
        </w:rPr>
      </w:r>
    </w:p>
    <w:tbl>
      <w:tblPr>
        <w:tblStyle w:val="791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5167"/>
        <w:gridCol w:w="334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pStyle w:val="1011"/>
              <w:ind w:left="0" w:firstLine="0"/>
              <w:jc w:val="both"/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1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7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Сведения об адресе земельного участка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45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pStyle w:val="1011"/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1.1.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7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Сведения об ином месте нахождения земельного участка, не являющегося объектом адресации, в структурированном виде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45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pStyle w:val="1011"/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1.2.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7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Дополнительные сведения о месте нахождения земельного участка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45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</w:tbl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Строки 5</w:t>
      </w:r>
      <w:r>
        <w:t xml:space="preserve">,</w:t>
      </w:r>
      <w:r>
        <w:t xml:space="preserve"> 5.1, 5.2 </w:t>
      </w:r>
      <w:r>
        <w:t xml:space="preserve">реквизита</w:t>
      </w:r>
      <w:r>
        <w:t xml:space="preserve"> 2 «</w:t>
      </w:r>
      <w:r>
        <w:t xml:space="preserve">Описание местоположения зданий, сооружений, объектов незавершенного строительства на земельном участке» </w:t>
      </w:r>
      <w:r>
        <w:t xml:space="preserve">приложения № 1 формы </w:t>
      </w:r>
      <w:r>
        <w:t xml:space="preserve">карт-планов территории</w:t>
      </w:r>
      <w:r>
        <w:t xml:space="preserve">, утвержденной </w:t>
      </w:r>
      <w:r>
        <w:t xml:space="preserve">Приказом </w:t>
      </w:r>
      <w:r>
        <w:rPr>
          <w:lang w:eastAsia="ru-RU"/>
        </w:rPr>
        <w:t xml:space="preserve">№ </w:t>
      </w:r>
      <w:r>
        <w:t xml:space="preserve">П/0337, </w:t>
      </w:r>
      <w:r>
        <w:t xml:space="preserve">изложена в новой редакции: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11"/>
        <w:contextualSpacing/>
        <w:ind w:firstLine="0"/>
        <w:jc w:val="both"/>
        <w:tabs>
          <w:tab w:val="left" w:pos="10134" w:leader="none"/>
        </w:tabs>
        <w:rPr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tbl>
      <w:tblPr>
        <w:tblStyle w:val="791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5167"/>
        <w:gridCol w:w="334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left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5.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7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Сведения об адресе здания, сооружения, объекта незавершенного строительства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45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left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5.1.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7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Сведения об ином месте нахождения здания, сооружения, объекта незавершенного строительства, не являющегося объектом адресации, в структурированном виде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45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8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left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5.2.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7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0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Дополнительные сведения о месте нахождения здания, сооружения, объекта незавершенного строительства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45" w:type="dxa"/>
            <w:vAlign w:val="top"/>
            <w:textDirection w:val="lrTb"/>
            <w:noWrap w:val="false"/>
          </w:tcPr>
          <w:p>
            <w:pPr>
              <w:pStyle w:val="1011"/>
              <w:contextualSpacing/>
              <w:ind w:firstLine="709"/>
              <w:jc w:val="both"/>
              <w:tabs>
                <w:tab w:val="left" w:pos="10134" w:leader="none"/>
              </w:tabs>
              <w:rPr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 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</w:tbl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sz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3. Согласно изменениям, внесенным </w:t>
      </w:r>
      <w:r>
        <w:t xml:space="preserve">Приказом </w:t>
      </w:r>
      <w:r>
        <w:rPr>
          <w:lang w:eastAsia="ru-RU"/>
        </w:rPr>
        <w:t xml:space="preserve">№ </w:t>
      </w:r>
      <w:r>
        <w:t xml:space="preserve">П/0328/24,</w:t>
      </w:r>
      <w:r>
        <w:t xml:space="preserve"> кадастровый инженер обязан следовать такому порядку:</w:t>
      </w:r>
      <w:r>
        <w:rPr>
          <w:sz w:val="24"/>
          <w14:ligatures w14:val="none"/>
        </w:rPr>
      </w:r>
      <w:r>
        <w:rPr>
          <w:sz w:val="24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sz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- проверить адрес земельного участка, если его нет, проинформировать об этом собственника о его получении через РПГУ;</w:t>
      </w:r>
      <w:r>
        <w:rPr>
          <w:sz w:val="24"/>
          <w14:ligatures w14:val="none"/>
        </w:rPr>
      </w:r>
      <w:r>
        <w:rPr>
          <w:sz w:val="24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sz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- после получения актуального адреса земельного участка нужно проверить адрес объекта капитального строительства, если его нет, проинформировать также об этом собственника о его получении через РПГУ;</w:t>
      </w:r>
      <w:r>
        <w:rPr>
          <w:sz w:val="24"/>
          <w14:ligatures w14:val="none"/>
        </w:rPr>
      </w:r>
      <w:r>
        <w:rPr>
          <w:sz w:val="24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sz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- по итогам рассмотрения заявлений на адресацию собственника должно прийти решение администрации о присвоении адреса и выписка из ГАР с присвоенным адресом;</w:t>
      </w:r>
      <w:r>
        <w:rPr>
          <w:sz w:val="24"/>
          <w14:ligatures w14:val="none"/>
        </w:rPr>
      </w:r>
      <w:r>
        <w:rPr>
          <w:sz w:val="24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sz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- подготовить технический (межевой) план;</w:t>
      </w:r>
      <w:r>
        <w:rPr>
          <w:sz w:val="24"/>
          <w14:ligatures w14:val="none"/>
        </w:rPr>
      </w:r>
      <w:r>
        <w:rPr>
          <w:sz w:val="24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sz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- </w:t>
      </w:r>
      <w:r>
        <w:t xml:space="preserve">указанные в выписке ГАР присвоенный адрес и FIASID (в выписке пункт 1.1 «Уникальный регистрационный номер адреса объекта адресации в государственном адресном реестре» и пункт 1.4 «Адрес объекта адресации»), необходимо вставить в технический (межевой) план;</w:t>
      </w:r>
      <w:r>
        <w:rPr>
          <w:sz w:val="24"/>
          <w14:ligatures w14:val="none"/>
        </w:rPr>
      </w:r>
      <w:r>
        <w:rPr>
          <w:sz w:val="24"/>
          <w14:ligatures w14:val="none"/>
        </w:rPr>
      </w:r>
    </w:p>
    <w:p>
      <w:pPr>
        <w:pStyle w:val="1011"/>
        <w:contextualSpacing/>
        <w:ind w:firstLine="709"/>
        <w:jc w:val="both"/>
        <w:tabs>
          <w:tab w:val="left" w:pos="10134" w:leader="none"/>
        </w:tabs>
        <w:rPr>
          <w:sz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- подать пакет документов для государственного кадастрового учёта в Росреестр.</w:t>
      </w:r>
      <w:r>
        <w:rPr>
          <w:sz w:val="24"/>
          <w14:ligatures w14:val="none"/>
        </w:rPr>
      </w:r>
      <w:r>
        <w:rPr>
          <w:sz w:val="24"/>
          <w14:ligatures w14:val="none"/>
        </w:rPr>
      </w:r>
    </w:p>
    <w:p>
      <w:pPr>
        <w:pStyle w:val="935"/>
        <w:spacing w:line="240" w:lineRule="auto"/>
      </w:pPr>
      <w:r>
        <w:rPr>
          <w:lang w:eastAsia="ru-RU"/>
        </w:rPr>
        <w:t xml:space="preserve">Просим довести вышеуказанную информацию до сведения кадастровых инженеров.</w:t>
      </w:r>
      <w:r/>
    </w:p>
    <w:p>
      <w:pPr>
        <w:contextualSpacing/>
        <w:ind w:left="0" w:firstLine="0"/>
        <w:jc w:val="both"/>
        <w:spacing w:line="240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  <w14:ligatures w14:val="none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contextualSpacing/>
        <w:ind w:firstLine="0"/>
        <w:jc w:val="left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Заместитель руководителя </w:t>
        <w:tab/>
        <w:tab/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   Н.С. Ивчатова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pStyle w:val="935"/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35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Подольская </w:t>
      </w:r>
      <w:r>
        <w:rPr>
          <w:color w:val="000000"/>
          <w:sz w:val="24"/>
          <w:szCs w:val="24"/>
        </w:rPr>
        <w:t xml:space="preserve">Дарина Сергеевна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35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(383)227-10-76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F">
    <w:panose1 w:val="02000603000000000000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7">
    <w:name w:val="Heading 1"/>
    <w:basedOn w:val="935"/>
    <w:next w:val="93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8">
    <w:name w:val="Heading 1 Char"/>
    <w:link w:val="757"/>
    <w:uiPriority w:val="9"/>
    <w:rPr>
      <w:rFonts w:ascii="Arial" w:hAnsi="Arial" w:eastAsia="Arial" w:cs="Arial"/>
      <w:sz w:val="40"/>
      <w:szCs w:val="40"/>
    </w:rPr>
  </w:style>
  <w:style w:type="paragraph" w:styleId="759">
    <w:name w:val="Heading 2"/>
    <w:basedOn w:val="935"/>
    <w:next w:val="935"/>
    <w:link w:val="7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0">
    <w:name w:val="Heading 2 Char"/>
    <w:link w:val="759"/>
    <w:uiPriority w:val="9"/>
    <w:rPr>
      <w:rFonts w:ascii="Arial" w:hAnsi="Arial" w:eastAsia="Arial" w:cs="Arial"/>
      <w:sz w:val="34"/>
    </w:rPr>
  </w:style>
  <w:style w:type="paragraph" w:styleId="761">
    <w:name w:val="Heading 3"/>
    <w:basedOn w:val="935"/>
    <w:next w:val="935"/>
    <w:link w:val="7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2">
    <w:name w:val="Heading 3 Char"/>
    <w:link w:val="761"/>
    <w:uiPriority w:val="9"/>
    <w:rPr>
      <w:rFonts w:ascii="Arial" w:hAnsi="Arial" w:eastAsia="Arial" w:cs="Arial"/>
      <w:sz w:val="30"/>
      <w:szCs w:val="30"/>
    </w:rPr>
  </w:style>
  <w:style w:type="paragraph" w:styleId="763">
    <w:name w:val="Heading 4"/>
    <w:basedOn w:val="935"/>
    <w:next w:val="935"/>
    <w:link w:val="7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4">
    <w:name w:val="Heading 4 Char"/>
    <w:link w:val="763"/>
    <w:uiPriority w:val="9"/>
    <w:rPr>
      <w:rFonts w:ascii="Arial" w:hAnsi="Arial" w:eastAsia="Arial" w:cs="Arial"/>
      <w:b/>
      <w:bCs/>
      <w:sz w:val="26"/>
      <w:szCs w:val="26"/>
    </w:rPr>
  </w:style>
  <w:style w:type="paragraph" w:styleId="765">
    <w:name w:val="Heading 5"/>
    <w:basedOn w:val="935"/>
    <w:next w:val="935"/>
    <w:link w:val="7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6">
    <w:name w:val="Heading 5 Char"/>
    <w:link w:val="765"/>
    <w:uiPriority w:val="9"/>
    <w:rPr>
      <w:rFonts w:ascii="Arial" w:hAnsi="Arial" w:eastAsia="Arial" w:cs="Arial"/>
      <w:b/>
      <w:bCs/>
      <w:sz w:val="24"/>
      <w:szCs w:val="24"/>
    </w:rPr>
  </w:style>
  <w:style w:type="paragraph" w:styleId="767">
    <w:name w:val="Heading 6"/>
    <w:basedOn w:val="935"/>
    <w:next w:val="935"/>
    <w:link w:val="7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8">
    <w:name w:val="Heading 6 Char"/>
    <w:link w:val="767"/>
    <w:uiPriority w:val="9"/>
    <w:rPr>
      <w:rFonts w:ascii="Arial" w:hAnsi="Arial" w:eastAsia="Arial" w:cs="Arial"/>
      <w:b/>
      <w:bCs/>
      <w:sz w:val="22"/>
      <w:szCs w:val="22"/>
    </w:rPr>
  </w:style>
  <w:style w:type="paragraph" w:styleId="769">
    <w:name w:val="Heading 7"/>
    <w:basedOn w:val="935"/>
    <w:next w:val="935"/>
    <w:link w:val="7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0">
    <w:name w:val="Heading 7 Char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1">
    <w:name w:val="Heading 8"/>
    <w:basedOn w:val="935"/>
    <w:next w:val="935"/>
    <w:link w:val="7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2">
    <w:name w:val="Heading 8 Char"/>
    <w:link w:val="771"/>
    <w:uiPriority w:val="9"/>
    <w:rPr>
      <w:rFonts w:ascii="Arial" w:hAnsi="Arial" w:eastAsia="Arial" w:cs="Arial"/>
      <w:i/>
      <w:iCs/>
      <w:sz w:val="22"/>
      <w:szCs w:val="22"/>
    </w:rPr>
  </w:style>
  <w:style w:type="paragraph" w:styleId="773">
    <w:name w:val="Heading 9"/>
    <w:basedOn w:val="935"/>
    <w:next w:val="935"/>
    <w:link w:val="7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4">
    <w:name w:val="Heading 9 Char"/>
    <w:link w:val="773"/>
    <w:uiPriority w:val="9"/>
    <w:rPr>
      <w:rFonts w:ascii="Arial" w:hAnsi="Arial" w:eastAsia="Arial" w:cs="Arial"/>
      <w:i/>
      <w:iCs/>
      <w:sz w:val="21"/>
      <w:szCs w:val="21"/>
    </w:rPr>
  </w:style>
  <w:style w:type="paragraph" w:styleId="775">
    <w:name w:val="List Paragraph"/>
    <w:basedOn w:val="935"/>
    <w:uiPriority w:val="34"/>
    <w:qFormat/>
    <w:pPr>
      <w:contextualSpacing/>
      <w:ind w:left="720"/>
    </w:pPr>
  </w:style>
  <w:style w:type="paragraph" w:styleId="776">
    <w:name w:val="No Spacing"/>
    <w:uiPriority w:val="1"/>
    <w:qFormat/>
    <w:pPr>
      <w:spacing w:before="0" w:after="0" w:line="240" w:lineRule="auto"/>
    </w:pPr>
  </w:style>
  <w:style w:type="paragraph" w:styleId="777">
    <w:name w:val="Title"/>
    <w:basedOn w:val="935"/>
    <w:next w:val="935"/>
    <w:link w:val="7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8">
    <w:name w:val="Title Char"/>
    <w:link w:val="777"/>
    <w:uiPriority w:val="10"/>
    <w:rPr>
      <w:sz w:val="48"/>
      <w:szCs w:val="48"/>
    </w:rPr>
  </w:style>
  <w:style w:type="paragraph" w:styleId="779">
    <w:name w:val="Subtitle"/>
    <w:basedOn w:val="935"/>
    <w:next w:val="935"/>
    <w:link w:val="780"/>
    <w:uiPriority w:val="11"/>
    <w:qFormat/>
    <w:pPr>
      <w:spacing w:before="200" w:after="200"/>
    </w:pPr>
    <w:rPr>
      <w:sz w:val="24"/>
      <w:szCs w:val="24"/>
    </w:rPr>
  </w:style>
  <w:style w:type="character" w:styleId="780">
    <w:name w:val="Subtitle Char"/>
    <w:link w:val="779"/>
    <w:uiPriority w:val="11"/>
    <w:rPr>
      <w:sz w:val="24"/>
      <w:szCs w:val="24"/>
    </w:rPr>
  </w:style>
  <w:style w:type="paragraph" w:styleId="781">
    <w:name w:val="Quote"/>
    <w:basedOn w:val="935"/>
    <w:next w:val="935"/>
    <w:link w:val="782"/>
    <w:uiPriority w:val="29"/>
    <w:qFormat/>
    <w:pPr>
      <w:ind w:left="720" w:right="720"/>
    </w:pPr>
    <w:rPr>
      <w:i/>
    </w:rPr>
  </w:style>
  <w:style w:type="character" w:styleId="782">
    <w:name w:val="Quote Char"/>
    <w:link w:val="781"/>
    <w:uiPriority w:val="29"/>
    <w:rPr>
      <w:i/>
    </w:rPr>
  </w:style>
  <w:style w:type="paragraph" w:styleId="783">
    <w:name w:val="Intense Quote"/>
    <w:basedOn w:val="935"/>
    <w:next w:val="935"/>
    <w:link w:val="7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4">
    <w:name w:val="Intense Quote Char"/>
    <w:link w:val="783"/>
    <w:uiPriority w:val="30"/>
    <w:rPr>
      <w:i/>
    </w:rPr>
  </w:style>
  <w:style w:type="paragraph" w:styleId="785">
    <w:name w:val="Header"/>
    <w:basedOn w:val="935"/>
    <w:link w:val="7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6">
    <w:name w:val="Header Char"/>
    <w:link w:val="785"/>
    <w:uiPriority w:val="99"/>
  </w:style>
  <w:style w:type="paragraph" w:styleId="787">
    <w:name w:val="Footer"/>
    <w:basedOn w:val="935"/>
    <w:link w:val="7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8">
    <w:name w:val="Footer Char"/>
    <w:link w:val="787"/>
    <w:uiPriority w:val="99"/>
  </w:style>
  <w:style w:type="paragraph" w:styleId="789">
    <w:name w:val="Caption"/>
    <w:basedOn w:val="935"/>
    <w:next w:val="935"/>
    <w:link w:val="7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0">
    <w:name w:val="Caption Char"/>
    <w:basedOn w:val="789"/>
    <w:link w:val="787"/>
    <w:uiPriority w:val="99"/>
  </w:style>
  <w:style w:type="table" w:styleId="79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7">
    <w:name w:val="Hyperlink"/>
    <w:uiPriority w:val="99"/>
    <w:unhideWhenUsed/>
    <w:rPr>
      <w:color w:val="0000ff" w:themeColor="hyperlink"/>
      <w:u w:val="single"/>
    </w:rPr>
  </w:style>
  <w:style w:type="paragraph" w:styleId="918">
    <w:name w:val="footnote text"/>
    <w:basedOn w:val="935"/>
    <w:link w:val="919"/>
    <w:uiPriority w:val="99"/>
    <w:semiHidden/>
    <w:unhideWhenUsed/>
    <w:pPr>
      <w:spacing w:after="40" w:line="240" w:lineRule="auto"/>
    </w:pPr>
    <w:rPr>
      <w:sz w:val="18"/>
    </w:rPr>
  </w:style>
  <w:style w:type="character" w:styleId="919">
    <w:name w:val="Footnote Text Char"/>
    <w:link w:val="918"/>
    <w:uiPriority w:val="99"/>
    <w:rPr>
      <w:sz w:val="18"/>
    </w:rPr>
  </w:style>
  <w:style w:type="character" w:styleId="920">
    <w:name w:val="footnote reference"/>
    <w:uiPriority w:val="99"/>
    <w:unhideWhenUsed/>
    <w:rPr>
      <w:vertAlign w:val="superscript"/>
    </w:rPr>
  </w:style>
  <w:style w:type="paragraph" w:styleId="921">
    <w:name w:val="endnote text"/>
    <w:basedOn w:val="935"/>
    <w:link w:val="922"/>
    <w:uiPriority w:val="99"/>
    <w:semiHidden/>
    <w:unhideWhenUsed/>
    <w:pPr>
      <w:spacing w:after="0" w:line="240" w:lineRule="auto"/>
    </w:pPr>
    <w:rPr>
      <w:sz w:val="20"/>
    </w:rPr>
  </w:style>
  <w:style w:type="character" w:styleId="922">
    <w:name w:val="Endnote Text Char"/>
    <w:link w:val="921"/>
    <w:uiPriority w:val="99"/>
    <w:rPr>
      <w:sz w:val="20"/>
    </w:rPr>
  </w:style>
  <w:style w:type="character" w:styleId="923">
    <w:name w:val="endnote reference"/>
    <w:uiPriority w:val="99"/>
    <w:semiHidden/>
    <w:unhideWhenUsed/>
    <w:rPr>
      <w:vertAlign w:val="superscript"/>
    </w:rPr>
  </w:style>
  <w:style w:type="paragraph" w:styleId="924">
    <w:name w:val="toc 1"/>
    <w:basedOn w:val="935"/>
    <w:next w:val="935"/>
    <w:uiPriority w:val="39"/>
    <w:unhideWhenUsed/>
    <w:pPr>
      <w:ind w:left="0" w:right="0" w:firstLine="0"/>
      <w:spacing w:after="57"/>
    </w:pPr>
  </w:style>
  <w:style w:type="paragraph" w:styleId="925">
    <w:name w:val="toc 2"/>
    <w:basedOn w:val="935"/>
    <w:next w:val="935"/>
    <w:uiPriority w:val="39"/>
    <w:unhideWhenUsed/>
    <w:pPr>
      <w:ind w:left="283" w:right="0" w:firstLine="0"/>
      <w:spacing w:after="57"/>
    </w:pPr>
  </w:style>
  <w:style w:type="paragraph" w:styleId="926">
    <w:name w:val="toc 3"/>
    <w:basedOn w:val="935"/>
    <w:next w:val="935"/>
    <w:uiPriority w:val="39"/>
    <w:unhideWhenUsed/>
    <w:pPr>
      <w:ind w:left="567" w:right="0" w:firstLine="0"/>
      <w:spacing w:after="57"/>
    </w:pPr>
  </w:style>
  <w:style w:type="paragraph" w:styleId="927">
    <w:name w:val="toc 4"/>
    <w:basedOn w:val="935"/>
    <w:next w:val="935"/>
    <w:uiPriority w:val="39"/>
    <w:unhideWhenUsed/>
    <w:pPr>
      <w:ind w:left="850" w:right="0" w:firstLine="0"/>
      <w:spacing w:after="57"/>
    </w:pPr>
  </w:style>
  <w:style w:type="paragraph" w:styleId="928">
    <w:name w:val="toc 5"/>
    <w:basedOn w:val="935"/>
    <w:next w:val="935"/>
    <w:uiPriority w:val="39"/>
    <w:unhideWhenUsed/>
    <w:pPr>
      <w:ind w:left="1134" w:right="0" w:firstLine="0"/>
      <w:spacing w:after="57"/>
    </w:pPr>
  </w:style>
  <w:style w:type="paragraph" w:styleId="929">
    <w:name w:val="toc 6"/>
    <w:basedOn w:val="935"/>
    <w:next w:val="935"/>
    <w:uiPriority w:val="39"/>
    <w:unhideWhenUsed/>
    <w:pPr>
      <w:ind w:left="1417" w:right="0" w:firstLine="0"/>
      <w:spacing w:after="57"/>
    </w:pPr>
  </w:style>
  <w:style w:type="paragraph" w:styleId="930">
    <w:name w:val="toc 7"/>
    <w:basedOn w:val="935"/>
    <w:next w:val="935"/>
    <w:uiPriority w:val="39"/>
    <w:unhideWhenUsed/>
    <w:pPr>
      <w:ind w:left="1701" w:right="0" w:firstLine="0"/>
      <w:spacing w:after="57"/>
    </w:pPr>
  </w:style>
  <w:style w:type="paragraph" w:styleId="931">
    <w:name w:val="toc 8"/>
    <w:basedOn w:val="935"/>
    <w:next w:val="935"/>
    <w:uiPriority w:val="39"/>
    <w:unhideWhenUsed/>
    <w:pPr>
      <w:ind w:left="1984" w:right="0" w:firstLine="0"/>
      <w:spacing w:after="57"/>
    </w:pPr>
  </w:style>
  <w:style w:type="paragraph" w:styleId="932">
    <w:name w:val="toc 9"/>
    <w:basedOn w:val="935"/>
    <w:next w:val="935"/>
    <w:uiPriority w:val="39"/>
    <w:unhideWhenUsed/>
    <w:pPr>
      <w:ind w:left="2268" w:right="0" w:firstLine="0"/>
      <w:spacing w:after="57"/>
    </w:pPr>
  </w:style>
  <w:style w:type="paragraph" w:styleId="933">
    <w:name w:val="TOC Heading"/>
    <w:uiPriority w:val="39"/>
    <w:unhideWhenUsed/>
  </w:style>
  <w:style w:type="paragraph" w:styleId="934">
    <w:name w:val="table of figures"/>
    <w:basedOn w:val="935"/>
    <w:next w:val="935"/>
    <w:uiPriority w:val="99"/>
    <w:unhideWhenUsed/>
    <w:pPr>
      <w:spacing w:after="0" w:afterAutospacing="0"/>
    </w:pPr>
  </w:style>
  <w:style w:type="paragraph" w:styleId="935" w:default="1">
    <w:name w:val="Normal"/>
    <w:next w:val="935"/>
    <w:link w:val="935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36">
    <w:name w:val="Заголовок 1"/>
    <w:basedOn w:val="935"/>
    <w:next w:val="935"/>
    <w:link w:val="962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 w:cs="Times New Roman"/>
      <w:b/>
      <w:bCs/>
    </w:rPr>
  </w:style>
  <w:style w:type="character" w:styleId="937">
    <w:name w:val="Основной шрифт абзаца"/>
    <w:next w:val="937"/>
    <w:link w:val="935"/>
    <w:uiPriority w:val="1"/>
    <w:semiHidden/>
    <w:unhideWhenUsed/>
  </w:style>
  <w:style w:type="table" w:styleId="938">
    <w:name w:val="Обычная таблица"/>
    <w:next w:val="938"/>
    <w:link w:val="935"/>
    <w:uiPriority w:val="99"/>
    <w:semiHidden/>
    <w:unhideWhenUsed/>
    <w:qFormat/>
    <w:tblPr/>
  </w:style>
  <w:style w:type="numbering" w:styleId="939">
    <w:name w:val="Нет списка"/>
    <w:next w:val="939"/>
    <w:link w:val="935"/>
    <w:uiPriority w:val="99"/>
    <w:semiHidden/>
    <w:unhideWhenUsed/>
  </w:style>
  <w:style w:type="paragraph" w:styleId="940">
    <w:name w:val="ConsPlusNormal"/>
    <w:next w:val="940"/>
    <w:link w:val="1005"/>
    <w:rPr>
      <w:sz w:val="28"/>
      <w:szCs w:val="28"/>
      <w:lang w:val="ru-RU" w:eastAsia="ru-RU" w:bidi="ar-SA"/>
    </w:rPr>
  </w:style>
  <w:style w:type="table" w:styleId="941">
    <w:name w:val="Сетка таблицы"/>
    <w:basedOn w:val="938"/>
    <w:next w:val="941"/>
    <w:link w:val="935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42">
    <w:name w:val="Абзац списка"/>
    <w:basedOn w:val="935"/>
    <w:next w:val="942"/>
    <w:link w:val="935"/>
    <w:uiPriority w:val="34"/>
    <w:qFormat/>
    <w:pPr>
      <w:contextualSpacing/>
      <w:ind w:left="720"/>
    </w:pPr>
  </w:style>
  <w:style w:type="table" w:styleId="943">
    <w:name w:val="Сетка таблицы1"/>
    <w:basedOn w:val="938"/>
    <w:next w:val="941"/>
    <w:link w:val="935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44">
    <w:name w:val="Текст выноски"/>
    <w:basedOn w:val="935"/>
    <w:next w:val="944"/>
    <w:link w:val="945"/>
    <w:uiPriority w:val="99"/>
    <w:semiHidden/>
    <w:unhideWhenUsed/>
    <w:rPr>
      <w:rFonts w:ascii="Tahoma" w:hAnsi="Tahoma"/>
      <w:sz w:val="16"/>
      <w:szCs w:val="16"/>
    </w:rPr>
  </w:style>
  <w:style w:type="character" w:styleId="945">
    <w:name w:val="Текст выноски Знак"/>
    <w:next w:val="945"/>
    <w:link w:val="944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46">
    <w:name w:val="Верхний колонтитул"/>
    <w:basedOn w:val="935"/>
    <w:next w:val="946"/>
    <w:link w:val="94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7">
    <w:name w:val="Верхний колонтитул Знак"/>
    <w:next w:val="947"/>
    <w:link w:val="946"/>
    <w:uiPriority w:val="99"/>
    <w:rPr>
      <w:rFonts w:eastAsia="Calibri" w:cs="Times New Roman"/>
      <w:sz w:val="28"/>
      <w:szCs w:val="28"/>
    </w:rPr>
  </w:style>
  <w:style w:type="paragraph" w:styleId="948">
    <w:name w:val="Нижний колонтитул"/>
    <w:basedOn w:val="935"/>
    <w:next w:val="948"/>
    <w:link w:val="94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9">
    <w:name w:val="Нижний колонтитул Знак"/>
    <w:next w:val="949"/>
    <w:link w:val="948"/>
    <w:uiPriority w:val="99"/>
    <w:rPr>
      <w:rFonts w:eastAsia="Calibri" w:cs="Times New Roman"/>
      <w:sz w:val="28"/>
      <w:szCs w:val="28"/>
    </w:rPr>
  </w:style>
  <w:style w:type="table" w:styleId="950">
    <w:name w:val="Сетка таблицы2"/>
    <w:basedOn w:val="938"/>
    <w:next w:val="941"/>
    <w:link w:val="935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51">
    <w:name w:val="ConsPlusTitlePage"/>
    <w:next w:val="951"/>
    <w:link w:val="935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52">
    <w:name w:val="ConsPlusTitle"/>
    <w:next w:val="952"/>
    <w:link w:val="935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53">
    <w:name w:val="ConsPlusNonformat"/>
    <w:next w:val="953"/>
    <w:link w:val="935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54">
    <w:name w:val="Основной текст с отступом"/>
    <w:basedOn w:val="935"/>
    <w:next w:val="954"/>
    <w:link w:val="955"/>
    <w:pPr>
      <w:ind w:firstLine="696"/>
    </w:pPr>
    <w:rPr>
      <w:rFonts w:eastAsia="Times New Roman"/>
      <w:szCs w:val="20"/>
      <w:lang w:eastAsia="ru-RU"/>
    </w:rPr>
  </w:style>
  <w:style w:type="character" w:styleId="955">
    <w:name w:val="Основной текст с отступом Знак"/>
    <w:next w:val="955"/>
    <w:link w:val="954"/>
    <w:rPr>
      <w:rFonts w:eastAsia="Times New Roman" w:cs="Times New Roman"/>
      <w:sz w:val="28"/>
      <w:szCs w:val="20"/>
      <w:lang w:eastAsia="ru-RU"/>
    </w:rPr>
  </w:style>
  <w:style w:type="character" w:styleId="956">
    <w:name w:val="apple-converted-space"/>
    <w:basedOn w:val="937"/>
    <w:next w:val="956"/>
    <w:link w:val="935"/>
  </w:style>
  <w:style w:type="paragraph" w:styleId="957">
    <w:name w:val="Основной текст с отступом 2"/>
    <w:basedOn w:val="935"/>
    <w:next w:val="957"/>
    <w:link w:val="958"/>
    <w:uiPriority w:val="99"/>
    <w:semiHidden/>
    <w:unhideWhenUsed/>
    <w:pPr>
      <w:ind w:left="283"/>
      <w:spacing w:after="120" w:line="480" w:lineRule="auto"/>
    </w:pPr>
  </w:style>
  <w:style w:type="character" w:styleId="958">
    <w:name w:val="Основной текст с отступом 2 Знак"/>
    <w:next w:val="958"/>
    <w:link w:val="957"/>
    <w:uiPriority w:val="99"/>
    <w:semiHidden/>
    <w:rPr>
      <w:rFonts w:eastAsia="Calibri" w:cs="Times New Roman"/>
      <w:sz w:val="28"/>
      <w:szCs w:val="28"/>
    </w:rPr>
  </w:style>
  <w:style w:type="paragraph" w:styleId="959">
    <w:name w:val="Стандартный HTML"/>
    <w:basedOn w:val="935"/>
    <w:next w:val="959"/>
    <w:link w:val="960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60">
    <w:name w:val="Стандартный HTML Знак"/>
    <w:next w:val="960"/>
    <w:link w:val="959"/>
    <w:rPr>
      <w:rFonts w:ascii="Courier New" w:hAnsi="Courier New" w:eastAsia="Times New Roman" w:cs="Courier New"/>
      <w:szCs w:val="20"/>
      <w:lang w:eastAsia="ru-RU"/>
    </w:rPr>
  </w:style>
  <w:style w:type="character" w:styleId="961">
    <w:name w:val="Гиперссылка"/>
    <w:next w:val="961"/>
    <w:link w:val="935"/>
    <w:rPr>
      <w:color w:val="0000ff"/>
      <w:u w:val="single"/>
    </w:rPr>
  </w:style>
  <w:style w:type="character" w:styleId="962">
    <w:name w:val="Заголовок 1 Знак"/>
    <w:next w:val="962"/>
    <w:link w:val="936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63">
    <w:name w:val="Сетка таблицы3"/>
    <w:basedOn w:val="938"/>
    <w:next w:val="963"/>
    <w:link w:val="935"/>
    <w:uiPriority w:val="59"/>
    <w:pPr>
      <w:jc w:val="left"/>
    </w:pPr>
    <w:rPr>
      <w:rFonts w:ascii="Calibri" w:hAnsi="Calibri"/>
      <w:sz w:val="22"/>
    </w:rPr>
    <w:tblPr/>
  </w:style>
  <w:style w:type="paragraph" w:styleId="964">
    <w:name w:val="Heading"/>
    <w:next w:val="964"/>
    <w:link w:val="935"/>
    <w:rPr>
      <w:rFonts w:ascii="Arial" w:hAnsi="Arial" w:eastAsia="Times New Roman"/>
      <w:b/>
      <w:sz w:val="22"/>
      <w:lang w:val="ru-RU" w:eastAsia="ru-RU" w:bidi="ar-SA"/>
    </w:rPr>
  </w:style>
  <w:style w:type="table" w:styleId="965">
    <w:name w:val="Сетка таблицы7"/>
    <w:basedOn w:val="938"/>
    <w:next w:val="941"/>
    <w:link w:val="935"/>
    <w:uiPriority w:val="59"/>
    <w:pPr>
      <w:jc w:val="left"/>
    </w:pPr>
    <w:rPr>
      <w:rFonts w:ascii="Calibri" w:hAnsi="Calibri"/>
      <w:sz w:val="22"/>
    </w:rPr>
    <w:tblPr/>
  </w:style>
  <w:style w:type="character" w:styleId="966">
    <w:name w:val="Знак сноски"/>
    <w:next w:val="966"/>
    <w:link w:val="935"/>
    <w:semiHidden/>
    <w:rPr>
      <w:vertAlign w:val="superscript"/>
    </w:rPr>
  </w:style>
  <w:style w:type="paragraph" w:styleId="967">
    <w:name w:val="Текст сноски"/>
    <w:basedOn w:val="935"/>
    <w:next w:val="967"/>
    <w:link w:val="968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968">
    <w:name w:val="Текст сноски Знак"/>
    <w:next w:val="968"/>
    <w:link w:val="967"/>
    <w:semiHidden/>
    <w:rPr>
      <w:rFonts w:eastAsia="Times New Roman" w:cs="Times New Roman"/>
      <w:szCs w:val="20"/>
      <w:lang w:eastAsia="ru-RU"/>
    </w:rPr>
  </w:style>
  <w:style w:type="paragraph" w:styleId="969">
    <w:name w:val="Preformat"/>
    <w:next w:val="969"/>
    <w:link w:val="935"/>
    <w:rPr>
      <w:rFonts w:ascii="Courier New" w:hAnsi="Courier New" w:eastAsia="Times New Roman" w:cs="Courier New"/>
      <w:lang w:val="ru-RU" w:eastAsia="ru-RU" w:bidi="ar-SA"/>
    </w:rPr>
  </w:style>
  <w:style w:type="table" w:styleId="970">
    <w:name w:val="Сетка таблицы20"/>
    <w:basedOn w:val="938"/>
    <w:next w:val="941"/>
    <w:link w:val="935"/>
    <w:pPr>
      <w:jc w:val="left"/>
    </w:pPr>
    <w:rPr>
      <w:rFonts w:eastAsia="Times New Roman" w:cs="Times New Roman"/>
      <w:szCs w:val="20"/>
      <w:lang w:eastAsia="ru-RU"/>
    </w:rPr>
    <w:tblPr/>
  </w:style>
  <w:style w:type="table" w:styleId="971">
    <w:name w:val="Сетка таблицы19"/>
    <w:basedOn w:val="938"/>
    <w:next w:val="941"/>
    <w:link w:val="935"/>
    <w:pPr>
      <w:jc w:val="left"/>
    </w:pPr>
    <w:rPr>
      <w:rFonts w:eastAsia="Times New Roman" w:cs="Times New Roman"/>
      <w:szCs w:val="20"/>
      <w:lang w:eastAsia="ru-RU"/>
    </w:rPr>
    <w:tblPr/>
  </w:style>
  <w:style w:type="table" w:styleId="972">
    <w:name w:val="Сетка таблицы18"/>
    <w:basedOn w:val="938"/>
    <w:next w:val="941"/>
    <w:link w:val="935"/>
    <w:pPr>
      <w:jc w:val="left"/>
    </w:pPr>
    <w:rPr>
      <w:rFonts w:eastAsia="Times New Roman" w:cs="Times New Roman"/>
      <w:szCs w:val="20"/>
      <w:lang w:eastAsia="ru-RU"/>
    </w:rPr>
    <w:tblPr/>
  </w:style>
  <w:style w:type="table" w:styleId="973">
    <w:name w:val="Сетка таблицы17"/>
    <w:basedOn w:val="938"/>
    <w:next w:val="941"/>
    <w:link w:val="935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74">
    <w:name w:val="Font Style22"/>
    <w:next w:val="974"/>
    <w:link w:val="935"/>
    <w:uiPriority w:val="99"/>
    <w:rPr>
      <w:rFonts w:ascii="Times New Roman" w:hAnsi="Times New Roman" w:cs="Times New Roman"/>
      <w:sz w:val="26"/>
      <w:szCs w:val="26"/>
    </w:rPr>
  </w:style>
  <w:style w:type="paragraph" w:styleId="975">
    <w:name w:val="Style16"/>
    <w:basedOn w:val="935"/>
    <w:next w:val="975"/>
    <w:link w:val="935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6">
    <w:name w:val="Style10"/>
    <w:basedOn w:val="935"/>
    <w:next w:val="976"/>
    <w:link w:val="935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7">
    <w:name w:val="Style17"/>
    <w:basedOn w:val="935"/>
    <w:next w:val="977"/>
    <w:link w:val="935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78">
    <w:name w:val="Font Style180"/>
    <w:next w:val="978"/>
    <w:link w:val="935"/>
    <w:uiPriority w:val="99"/>
    <w:rPr>
      <w:rFonts w:ascii="Times New Roman" w:hAnsi="Times New Roman" w:cs="Times New Roman"/>
      <w:sz w:val="26"/>
      <w:szCs w:val="26"/>
    </w:rPr>
  </w:style>
  <w:style w:type="character" w:styleId="979">
    <w:name w:val="Font Style178"/>
    <w:next w:val="979"/>
    <w:link w:val="935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80">
    <w:name w:val="Style18"/>
    <w:basedOn w:val="935"/>
    <w:next w:val="980"/>
    <w:link w:val="935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1">
    <w:name w:val="Style6"/>
    <w:basedOn w:val="935"/>
    <w:next w:val="981"/>
    <w:link w:val="935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2">
    <w:name w:val="Style15"/>
    <w:basedOn w:val="935"/>
    <w:next w:val="982"/>
    <w:link w:val="935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83">
    <w:name w:val="Style7"/>
    <w:basedOn w:val="935"/>
    <w:next w:val="983"/>
    <w:link w:val="935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4">
    <w:name w:val="Style11"/>
    <w:basedOn w:val="935"/>
    <w:next w:val="984"/>
    <w:link w:val="935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85">
    <w:name w:val="Font Style183"/>
    <w:next w:val="985"/>
    <w:link w:val="935"/>
    <w:uiPriority w:val="99"/>
    <w:rPr>
      <w:rFonts w:ascii="Times New Roman" w:hAnsi="Times New Roman" w:cs="Times New Roman"/>
      <w:sz w:val="20"/>
      <w:szCs w:val="20"/>
    </w:rPr>
  </w:style>
  <w:style w:type="paragraph" w:styleId="986">
    <w:name w:val="Style20"/>
    <w:basedOn w:val="935"/>
    <w:next w:val="986"/>
    <w:link w:val="935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7">
    <w:name w:val="Style3"/>
    <w:basedOn w:val="935"/>
    <w:next w:val="987"/>
    <w:link w:val="935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88">
    <w:name w:val="Style38"/>
    <w:basedOn w:val="935"/>
    <w:next w:val="988"/>
    <w:link w:val="935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89">
    <w:name w:val="Font Style179"/>
    <w:next w:val="989"/>
    <w:link w:val="935"/>
    <w:uiPriority w:val="99"/>
    <w:rPr>
      <w:rFonts w:ascii="Times New Roman" w:hAnsi="Times New Roman" w:cs="Times New Roman"/>
      <w:sz w:val="22"/>
      <w:szCs w:val="22"/>
    </w:rPr>
  </w:style>
  <w:style w:type="paragraph" w:styleId="990">
    <w:name w:val="Style5"/>
    <w:basedOn w:val="935"/>
    <w:next w:val="990"/>
    <w:link w:val="935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91">
    <w:name w:val="Style13"/>
    <w:basedOn w:val="935"/>
    <w:next w:val="991"/>
    <w:link w:val="935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2">
    <w:name w:val="Style22"/>
    <w:basedOn w:val="935"/>
    <w:next w:val="992"/>
    <w:link w:val="935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3">
    <w:name w:val="Style32"/>
    <w:basedOn w:val="935"/>
    <w:next w:val="993"/>
    <w:link w:val="935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4">
    <w:name w:val="Style36"/>
    <w:basedOn w:val="935"/>
    <w:next w:val="994"/>
    <w:link w:val="935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5">
    <w:name w:val="Style37"/>
    <w:basedOn w:val="935"/>
    <w:next w:val="995"/>
    <w:link w:val="935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6">
    <w:name w:val="Style44"/>
    <w:basedOn w:val="935"/>
    <w:next w:val="996"/>
    <w:link w:val="935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7">
    <w:name w:val="Style34"/>
    <w:basedOn w:val="935"/>
    <w:next w:val="997"/>
    <w:link w:val="935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8">
    <w:name w:val="Style41"/>
    <w:basedOn w:val="935"/>
    <w:next w:val="998"/>
    <w:link w:val="935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9">
    <w:name w:val="Style50"/>
    <w:basedOn w:val="935"/>
    <w:next w:val="999"/>
    <w:link w:val="935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1000">
    <w:name w:val="Style66"/>
    <w:basedOn w:val="935"/>
    <w:next w:val="1000"/>
    <w:link w:val="935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1">
    <w:name w:val="Style39"/>
    <w:basedOn w:val="935"/>
    <w:next w:val="1001"/>
    <w:link w:val="935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2">
    <w:name w:val="Style43"/>
    <w:basedOn w:val="935"/>
    <w:next w:val="1002"/>
    <w:link w:val="935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1003">
    <w:name w:val="Font Style218"/>
    <w:next w:val="1003"/>
    <w:link w:val="935"/>
    <w:uiPriority w:val="99"/>
    <w:rPr>
      <w:rFonts w:ascii="Times New Roman" w:hAnsi="Times New Roman" w:cs="Times New Roman"/>
      <w:sz w:val="18"/>
      <w:szCs w:val="18"/>
    </w:rPr>
  </w:style>
  <w:style w:type="character" w:styleId="1004">
    <w:name w:val="Font Style181"/>
    <w:next w:val="1004"/>
    <w:link w:val="935"/>
    <w:uiPriority w:val="99"/>
    <w:rPr>
      <w:rFonts w:ascii="Times New Roman" w:hAnsi="Times New Roman" w:cs="Times New Roman"/>
      <w:sz w:val="16"/>
      <w:szCs w:val="16"/>
    </w:rPr>
  </w:style>
  <w:style w:type="character" w:styleId="1005">
    <w:name w:val="ConsPlusNormal Знак"/>
    <w:next w:val="1005"/>
    <w:link w:val="940"/>
    <w:rPr>
      <w:sz w:val="28"/>
      <w:szCs w:val="28"/>
      <w:lang w:val="ru-RU" w:eastAsia="ru-RU" w:bidi="ar-SA"/>
    </w:rPr>
  </w:style>
  <w:style w:type="paragraph" w:styleId="1006">
    <w:name w:val="Style8"/>
    <w:basedOn w:val="935"/>
    <w:next w:val="1006"/>
    <w:link w:val="935"/>
    <w:uiPriority w:val="99"/>
    <w:pPr>
      <w:ind w:firstLine="698"/>
      <w:spacing w:line="353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7">
    <w:name w:val="Standard"/>
    <w:next w:val="1007"/>
    <w:link w:val="935"/>
    <w:pPr>
      <w:spacing w:after="200" w:line="276" w:lineRule="auto"/>
    </w:pPr>
    <w:rPr>
      <w:rFonts w:ascii="Calibri" w:hAnsi="Calibri" w:cs="F"/>
      <w:sz w:val="22"/>
      <w:szCs w:val="22"/>
      <w:lang w:val="ru-RU" w:eastAsia="en-US" w:bidi="ar-SA"/>
    </w:rPr>
  </w:style>
  <w:style w:type="character" w:styleId="1008" w:default="1">
    <w:name w:val="Default Paragraph Font"/>
    <w:uiPriority w:val="1"/>
    <w:semiHidden/>
    <w:unhideWhenUsed/>
  </w:style>
  <w:style w:type="numbering" w:styleId="1009" w:default="1">
    <w:name w:val="No List"/>
    <w:uiPriority w:val="99"/>
    <w:semiHidden/>
    <w:unhideWhenUsed/>
  </w:style>
  <w:style w:type="table" w:styleId="1010" w:default="1">
    <w:name w:val="Normal Table"/>
    <w:uiPriority w:val="99"/>
    <w:semiHidden/>
    <w:unhideWhenUsed/>
    <w:tblPr/>
  </w:style>
  <w:style w:type="paragraph" w:styleId="1011" w:customStyle="1">
    <w:name w:val="Text body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lastModifiedBy>kdc</cp:lastModifiedBy>
  <cp:revision>56</cp:revision>
  <dcterms:created xsi:type="dcterms:W3CDTF">2022-08-25T11:01:00Z</dcterms:created>
  <dcterms:modified xsi:type="dcterms:W3CDTF">2026-02-04T01:52:24Z</dcterms:modified>
  <cp:version>1048576</cp:version>
</cp:coreProperties>
</file>